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8569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8"/>
        <w:gridCol w:w="736"/>
        <w:gridCol w:w="1337"/>
        <w:gridCol w:w="3013"/>
        <w:gridCol w:w="276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856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其他运转类项目支出绩效目标申报表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856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</w:t>
            </w:r>
            <w:r>
              <w:rPr>
                <w:rStyle w:val="4"/>
                <w:rFonts w:eastAsia="宋体"/>
                <w:lang w:val="en-US" w:eastAsia="zh-CN" w:bidi="ar"/>
              </w:rPr>
              <w:t>2026</w:t>
            </w:r>
            <w:r>
              <w:rPr>
                <w:rStyle w:val="5"/>
                <w:lang w:val="en-US" w:eastAsia="zh-CN" w:bidi="ar"/>
              </w:rPr>
              <w:t>年度）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atLeast"/>
        </w:trPr>
        <w:tc>
          <w:tcPr>
            <w:tcW w:w="279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577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义务教育生均公用经费（小学）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</w:trPr>
        <w:tc>
          <w:tcPr>
            <w:tcW w:w="279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577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攀枝花市仁和区太平乡中心学校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2791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项目资金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3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年度资金总额:</w:t>
            </w:r>
          </w:p>
        </w:tc>
        <w:tc>
          <w:tcPr>
            <w:tcW w:w="2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2791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其中：财政拨款</w:t>
            </w:r>
          </w:p>
        </w:tc>
        <w:tc>
          <w:tcPr>
            <w:tcW w:w="2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2791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      其他资金</w:t>
            </w:r>
          </w:p>
        </w:tc>
        <w:tc>
          <w:tcPr>
            <w:tcW w:w="2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</w:trPr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总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目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标</w:t>
            </w:r>
          </w:p>
        </w:tc>
        <w:tc>
          <w:tcPr>
            <w:tcW w:w="785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普及义务教育、维持学校正常运转，保障适龄儿童、少年接受义务教育的权利，提高全民科学文化族素质。保障全校师生2026年度教育教学工作顺利开展；坚持以教学为中心，提升教师整体专业素养；真正做到服务于社会、服务于家长、服务于学生；促进学校健康发展，圆满完成义务教育教学活动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71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绩效指标</w:t>
            </w: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一级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3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2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指标值（包含数字及文字描述）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71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3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项目完成</w:t>
            </w:r>
          </w:p>
        </w:tc>
        <w:tc>
          <w:tcPr>
            <w:tcW w:w="1337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3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辖区内义务教育阶段学生人数</w:t>
            </w:r>
          </w:p>
        </w:tc>
        <w:tc>
          <w:tcPr>
            <w:tcW w:w="2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215人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71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37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学校专任教师数</w:t>
            </w:r>
          </w:p>
        </w:tc>
        <w:tc>
          <w:tcPr>
            <w:tcW w:w="2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71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3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生均公用经费标准</w:t>
            </w:r>
          </w:p>
        </w:tc>
        <w:tc>
          <w:tcPr>
            <w:tcW w:w="2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16元/人.年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</w:trPr>
        <w:tc>
          <w:tcPr>
            <w:tcW w:w="71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3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项目周期</w:t>
            </w:r>
          </w:p>
        </w:tc>
        <w:tc>
          <w:tcPr>
            <w:tcW w:w="2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</w:trPr>
        <w:tc>
          <w:tcPr>
            <w:tcW w:w="71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3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生均公用经费总额</w:t>
            </w:r>
          </w:p>
        </w:tc>
        <w:tc>
          <w:tcPr>
            <w:tcW w:w="2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0.35万元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71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3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项目效益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社会效益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</w:t>
            </w:r>
          </w:p>
        </w:tc>
        <w:tc>
          <w:tcPr>
            <w:tcW w:w="3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适龄儿童、少年入学率</w:t>
            </w:r>
          </w:p>
        </w:tc>
        <w:tc>
          <w:tcPr>
            <w:tcW w:w="2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71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可持续影响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</w:t>
            </w:r>
          </w:p>
        </w:tc>
        <w:tc>
          <w:tcPr>
            <w:tcW w:w="3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人民群众对义务教育的满意度</w:t>
            </w:r>
          </w:p>
        </w:tc>
        <w:tc>
          <w:tcPr>
            <w:tcW w:w="2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显著提高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71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3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33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3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主管部门满意度</w:t>
            </w:r>
          </w:p>
        </w:tc>
        <w:tc>
          <w:tcPr>
            <w:tcW w:w="2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≥90%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71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3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学生、家长、社会满意度</w:t>
            </w:r>
          </w:p>
        </w:tc>
        <w:tc>
          <w:tcPr>
            <w:tcW w:w="2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≥90%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856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其他运转类项目支出绩效目标申报表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856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</w:t>
            </w:r>
            <w:r>
              <w:rPr>
                <w:rStyle w:val="4"/>
                <w:rFonts w:eastAsia="宋体"/>
                <w:lang w:val="en-US" w:eastAsia="zh-CN" w:bidi="ar"/>
              </w:rPr>
              <w:t>2026</w:t>
            </w:r>
            <w:r>
              <w:rPr>
                <w:rStyle w:val="5"/>
                <w:lang w:val="en-US" w:eastAsia="zh-CN" w:bidi="ar"/>
              </w:rPr>
              <w:t>年度）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279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577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生均公用经费（学前教育）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279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577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攀枝花市仁和区太平乡中心学校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2791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项目资金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3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年度资金总额:</w:t>
            </w:r>
          </w:p>
        </w:tc>
        <w:tc>
          <w:tcPr>
            <w:tcW w:w="2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3.66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2791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其中：财政拨款</w:t>
            </w:r>
          </w:p>
        </w:tc>
        <w:tc>
          <w:tcPr>
            <w:tcW w:w="2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3.66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2791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      其他资金</w:t>
            </w:r>
          </w:p>
        </w:tc>
        <w:tc>
          <w:tcPr>
            <w:tcW w:w="2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</w:trPr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总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目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标</w:t>
            </w:r>
          </w:p>
        </w:tc>
        <w:tc>
          <w:tcPr>
            <w:tcW w:w="785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普及学前教育、维持幼儿园正常运转，保障适龄幼儿接受学前教育的权利，提高全民科学文化族素质。保障全园师生2026年度教育教学工作顺利开展；坚持以教学为中心，提升教师整体专业素养；真正做到服务于社会、服务于家长、服务于学生；促进幼儿园健康发展，圆满完成学前教育教学活动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71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绩效指标</w:t>
            </w: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一级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3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2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指标值（包含数字及文字描述）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71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36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项目完成</w:t>
            </w:r>
          </w:p>
        </w:tc>
        <w:tc>
          <w:tcPr>
            <w:tcW w:w="1337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3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学前教育阶段幼儿人数</w:t>
            </w:r>
          </w:p>
        </w:tc>
        <w:tc>
          <w:tcPr>
            <w:tcW w:w="2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71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36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37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幼儿园专任教师人数</w:t>
            </w:r>
          </w:p>
        </w:tc>
        <w:tc>
          <w:tcPr>
            <w:tcW w:w="2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71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36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3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学前教育生均公用经费标准</w:t>
            </w:r>
          </w:p>
        </w:tc>
        <w:tc>
          <w:tcPr>
            <w:tcW w:w="2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600元/人.年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</w:trPr>
        <w:tc>
          <w:tcPr>
            <w:tcW w:w="71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36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3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项目周期</w:t>
            </w:r>
          </w:p>
        </w:tc>
        <w:tc>
          <w:tcPr>
            <w:tcW w:w="2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71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3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学前教育生均公用经费总额</w:t>
            </w:r>
          </w:p>
        </w:tc>
        <w:tc>
          <w:tcPr>
            <w:tcW w:w="2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3.66万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71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36" w:type="dxa"/>
            <w:vMerge w:val="restart"/>
            <w:tcBorders>
              <w:top w:val="single" w:color="auto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项目效益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社会效益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</w:t>
            </w:r>
          </w:p>
        </w:tc>
        <w:tc>
          <w:tcPr>
            <w:tcW w:w="3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辖区内适龄幼儿入园率</w:t>
            </w:r>
          </w:p>
        </w:tc>
        <w:tc>
          <w:tcPr>
            <w:tcW w:w="2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71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36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3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人民群众对学前教育的满意度</w:t>
            </w:r>
          </w:p>
        </w:tc>
        <w:tc>
          <w:tcPr>
            <w:tcW w:w="2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显著提高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71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3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33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3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主管部门满意度</w:t>
            </w:r>
          </w:p>
        </w:tc>
        <w:tc>
          <w:tcPr>
            <w:tcW w:w="276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≥90%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71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3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学生、家长、社会满意度</w:t>
            </w:r>
          </w:p>
        </w:tc>
        <w:tc>
          <w:tcPr>
            <w:tcW w:w="276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≥90%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8163368"/>
    <w:rsid w:val="066F21C0"/>
    <w:rsid w:val="0E6108E4"/>
    <w:rsid w:val="18163368"/>
    <w:rsid w:val="39A9387E"/>
    <w:rsid w:val="62505097"/>
    <w:rsid w:val="68B937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01"/>
    <w:basedOn w:val="3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  <w:style w:type="character" w:customStyle="1" w:styleId="5">
    <w:name w:val="font31"/>
    <w:basedOn w:val="3"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17</TotalTime>
  <ScaleCrop>false</ScaleCrop>
  <LinksUpToDate>false</LinksUpToDate>
  <CharactersWithSpaces>0</CharactersWithSpaces>
  <Application>WPS Office_11.8.6.11825_F1E327BC-269C-435d-A152-05C5408002CA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2026-01-07T09:42:00Z</dcterms:created>
  <dc:creator>何英</dc:creator>
  <cp:lastModifiedBy>刘芸</cp:lastModifiedBy>
  <dcterms:modified xsi:type="dcterms:W3CDTF">2026-01-27T03:09:57Z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2052-11.8.6.11825</vt:lpwstr>
  </property>
  <property fmtid="{D5CDD505-2E9C-101B-9397-08002B2CF9AE}" pid="3" name="ICV">
    <vt:lpwstr>CB711C71D9064E0886481F3F0B10215B</vt:lpwstr>
  </property>
</Properties>
</file>